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＜配布資料：</w:t>
      </w:r>
      <w:r>
        <w:rPr>
          <w:rFonts w:ascii="Century" w:hAnsi="Century" w:cs="Century" w:eastAsia="Century"/>
          <w:color w:val="auto"/>
          <w:spacing w:val="0"/>
          <w:position w:val="0"/>
          <w:sz w:val="21"/>
          <w:shd w:fill="auto" w:val="clear"/>
        </w:rPr>
        <w:t xml:space="preserve">2016</w:t>
      </w:r>
      <w:r>
        <w:rPr>
          <w:rFonts w:ascii="ＭＳ 明朝" w:hAnsi="ＭＳ 明朝" w:cs="ＭＳ 明朝" w:eastAsia="ＭＳ 明朝"/>
          <w:color w:val="auto"/>
          <w:spacing w:val="0"/>
          <w:position w:val="0"/>
          <w:sz w:val="21"/>
          <w:shd w:fill="auto" w:val="clear"/>
        </w:rPr>
        <w:t xml:space="preserve">年</w:t>
      </w:r>
      <w:r>
        <w:rPr>
          <w:rFonts w:ascii="Century" w:hAnsi="Century" w:cs="Century" w:eastAsia="Century"/>
          <w:color w:val="auto"/>
          <w:spacing w:val="0"/>
          <w:position w:val="0"/>
          <w:sz w:val="21"/>
          <w:shd w:fill="auto" w:val="clear"/>
        </w:rPr>
        <w:t xml:space="preserve">12</w:t>
      </w:r>
      <w:r>
        <w:rPr>
          <w:rFonts w:ascii="ＭＳ 明朝" w:hAnsi="ＭＳ 明朝" w:cs="ＭＳ 明朝" w:eastAsia="ＭＳ 明朝"/>
          <w:color w:val="auto"/>
          <w:spacing w:val="0"/>
          <w:position w:val="0"/>
          <w:sz w:val="21"/>
          <w:shd w:fill="auto" w:val="clear"/>
        </w:rPr>
        <w:t xml:space="preserve">月</w:t>
      </w:r>
      <w:r>
        <w:rPr>
          <w:rFonts w:ascii="Century" w:hAnsi="Century" w:cs="Century" w:eastAsia="Century"/>
          <w:color w:val="auto"/>
          <w:spacing w:val="0"/>
          <w:position w:val="0"/>
          <w:sz w:val="21"/>
          <w:shd w:fill="auto" w:val="clear"/>
        </w:rPr>
        <w:t xml:space="preserve">15</w:t>
      </w:r>
      <w:r>
        <w:rPr>
          <w:rFonts w:ascii="ＭＳ 明朝" w:hAnsi="ＭＳ 明朝" w:cs="ＭＳ 明朝" w:eastAsia="ＭＳ 明朝"/>
          <w:color w:val="auto"/>
          <w:spacing w:val="0"/>
          <w:position w:val="0"/>
          <w:sz w:val="21"/>
          <w:shd w:fill="auto" w:val="clear"/>
        </w:rPr>
        <w:t xml:space="preserve">日　</w:t>
      </w:r>
      <w:r>
        <w:rPr>
          <w:rFonts w:ascii="ＭＳ 明朝" w:hAnsi="ＭＳ 明朝" w:cs="ＭＳ 明朝" w:eastAsia="ＭＳ 明朝"/>
          <w:b/>
          <w:color w:val="auto"/>
          <w:spacing w:val="0"/>
          <w:position w:val="0"/>
          <w:sz w:val="21"/>
          <w:shd w:fill="auto" w:val="clear"/>
        </w:rPr>
        <w:t xml:space="preserve">一般社団法人環境金融研究機構</w:t>
      </w:r>
      <w:r>
        <w:rPr>
          <w:rFonts w:ascii="ＭＳ 明朝" w:hAnsi="ＭＳ 明朝" w:cs="ＭＳ 明朝" w:eastAsia="ＭＳ 明朝"/>
          <w:color w:val="auto"/>
          <w:spacing w:val="0"/>
          <w:position w:val="0"/>
          <w:sz w:val="21"/>
          <w:shd w:fill="auto" w:val="clear"/>
        </w:rPr>
        <w:t xml:space="preserve">＞</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連絡先：東京都千代田区内幸町</w:t>
      </w:r>
      <w:r>
        <w:rPr>
          <w:rFonts w:ascii="Century" w:hAnsi="Century" w:cs="Century" w:eastAsia="Century"/>
          <w:color w:val="auto"/>
          <w:spacing w:val="0"/>
          <w:position w:val="0"/>
          <w:sz w:val="21"/>
          <w:shd w:fill="auto" w:val="clear"/>
        </w:rPr>
        <w:t xml:space="preserve">2-2-1</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Century" w:hAnsi="Century" w:cs="Century" w:eastAsia="Century"/>
          <w:color w:val="auto"/>
          <w:spacing w:val="0"/>
          <w:position w:val="0"/>
          <w:sz w:val="21"/>
          <w:shd w:fill="auto" w:val="clear"/>
        </w:rPr>
        <w:t xml:space="preserve">                                                </w:t>
      </w:r>
      <w:r>
        <w:rPr>
          <w:rFonts w:ascii="ＭＳ 明朝" w:hAnsi="ＭＳ 明朝" w:cs="ＭＳ 明朝" w:eastAsia="ＭＳ 明朝"/>
          <w:color w:val="auto"/>
          <w:spacing w:val="0"/>
          <w:position w:val="0"/>
          <w:sz w:val="21"/>
          <w:shd w:fill="auto" w:val="clear"/>
        </w:rPr>
        <w:t xml:space="preserve">日本プレスセンター内</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電話</w:t>
      </w:r>
      <w:r>
        <w:rPr>
          <w:rFonts w:ascii="Century" w:hAnsi="Century" w:cs="Century" w:eastAsia="Century"/>
          <w:color w:val="auto"/>
          <w:spacing w:val="0"/>
          <w:position w:val="0"/>
          <w:sz w:val="21"/>
          <w:shd w:fill="auto" w:val="clear"/>
        </w:rPr>
        <w:t xml:space="preserve">03-6206-6639</w:t>
      </w:r>
      <w:r>
        <w:rPr>
          <w:rFonts w:ascii="ＭＳ 明朝" w:hAnsi="ＭＳ 明朝" w:cs="ＭＳ 明朝" w:eastAsia="ＭＳ 明朝"/>
          <w:color w:val="auto"/>
          <w:spacing w:val="0"/>
          <w:position w:val="0"/>
          <w:sz w:val="21"/>
          <w:shd w:fill="auto" w:val="clear"/>
        </w:rPr>
        <w:t xml:space="preserve">　携帯</w:t>
      </w:r>
      <w:r>
        <w:rPr>
          <w:rFonts w:ascii="Century" w:hAnsi="Century" w:cs="Century" w:eastAsia="Century"/>
          <w:color w:val="auto"/>
          <w:spacing w:val="0"/>
          <w:position w:val="0"/>
          <w:sz w:val="21"/>
          <w:shd w:fill="auto" w:val="clear"/>
        </w:rPr>
        <w:t xml:space="preserve">090-8728-2311</w:t>
      </w:r>
      <w:r>
        <w:rPr>
          <w:rFonts w:ascii="ＭＳ 明朝" w:hAnsi="ＭＳ 明朝" w:cs="ＭＳ 明朝" w:eastAsia="ＭＳ 明朝"/>
          <w:color w:val="auto"/>
          <w:spacing w:val="0"/>
          <w:position w:val="0"/>
          <w:sz w:val="21"/>
          <w:shd w:fill="auto" w:val="clear"/>
        </w:rPr>
        <w:t xml:space="preserve">（藤井）</w:t>
      </w:r>
      <w:r>
        <w:rPr>
          <w:rFonts w:ascii="Century" w:hAnsi="Century" w:cs="Century" w:eastAsia="Century"/>
          <w:color w:val="auto"/>
          <w:spacing w:val="0"/>
          <w:position w:val="0"/>
          <w:sz w:val="21"/>
          <w:shd w:fill="auto" w:val="clear"/>
        </w:rPr>
        <w:t xml:space="preserve">                                               </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　　　　　　　　　　　　　　　　　　　　　　　　</w:t>
      </w:r>
      <w:r>
        <w:rPr>
          <w:rFonts w:ascii="Century" w:hAnsi="Century" w:cs="Century" w:eastAsia="Century"/>
          <w:color w:val="auto"/>
          <w:spacing w:val="0"/>
          <w:position w:val="0"/>
          <w:sz w:val="21"/>
          <w:shd w:fill="auto" w:val="clear"/>
        </w:rPr>
        <w:t xml:space="preserve">Email &lt;info@rief-jp.org&gt;</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000000"/>
          <w:spacing w:val="0"/>
          <w:position w:val="0"/>
          <w:sz w:val="32"/>
          <w:u w:val="single"/>
          <w:shd w:fill="auto" w:val="clear"/>
        </w:rPr>
      </w:pPr>
      <w:r>
        <w:rPr>
          <w:rFonts w:ascii="Century" w:hAnsi="Century" w:cs="Century" w:eastAsia="Century"/>
          <w:color w:val="000000"/>
          <w:spacing w:val="0"/>
          <w:position w:val="0"/>
          <w:sz w:val="32"/>
          <w:u w:val="single"/>
          <w:shd w:fill="auto" w:val="clear"/>
        </w:rPr>
        <w:t xml:space="preserve">2016</w:t>
      </w:r>
      <w:r>
        <w:rPr>
          <w:rFonts w:ascii="ＭＳ 明朝" w:hAnsi="ＭＳ 明朝" w:cs="ＭＳ 明朝" w:eastAsia="ＭＳ 明朝"/>
          <w:color w:val="000000"/>
          <w:spacing w:val="0"/>
          <w:position w:val="0"/>
          <w:sz w:val="32"/>
          <w:u w:val="single"/>
          <w:shd w:fill="auto" w:val="clear"/>
        </w:rPr>
        <w:t xml:space="preserve">年サステナブルファイナンス大賞の決定</w:t>
      </w:r>
    </w:p>
    <w:p>
      <w:pPr>
        <w:spacing w:before="0" w:after="0" w:line="240"/>
        <w:ind w:right="0" w:left="0" w:firstLine="0"/>
        <w:jc w:val="both"/>
        <w:rPr>
          <w:rFonts w:ascii="Century" w:hAnsi="Century" w:cs="Century" w:eastAsia="Century"/>
          <w:color w:val="auto"/>
          <w:spacing w:val="0"/>
          <w:position w:val="0"/>
          <w:sz w:val="21"/>
          <w:shd w:fill="auto" w:val="clear"/>
        </w:rPr>
      </w:pPr>
      <w:r>
        <w:object w:dxaOrig="2016" w:dyaOrig="1798">
          <v:rect xmlns:o="urn:schemas-microsoft-com:office:office" xmlns:v="urn:schemas-microsoft-com:vml" id="rectole0000000000" style="width:100.800000pt;height:89.9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object w:dxaOrig="2016" w:dyaOrig="1798">
          <v:rect xmlns:o="urn:schemas-microsoft-com:office:office" xmlns:v="urn:schemas-microsoft-com:vml" id="rectole0000000001" style="width:100.800000pt;height:89.9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object w:dxaOrig="2016" w:dyaOrig="1798">
          <v:rect xmlns:o="urn:schemas-microsoft-com:office:office" xmlns:v="urn:schemas-microsoft-com:vml" id="rectole0000000002" style="width:100.800000pt;height:89.9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object w:dxaOrig="2016" w:dyaOrig="1798">
          <v:rect xmlns:o="urn:schemas-microsoft-com:office:office" xmlns:v="urn:schemas-microsoft-com:vml" id="rectole0000000003" style="width:100.800000pt;height:89.9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0" w:line="240"/>
        <w:ind w:right="0" w:left="0" w:firstLine="0"/>
        <w:jc w:val="both"/>
        <w:rPr>
          <w:rFonts w:ascii="Century" w:hAnsi="Century" w:cs="Century" w:eastAsia="Century"/>
          <w:b/>
          <w:color w:val="auto"/>
          <w:spacing w:val="0"/>
          <w:position w:val="0"/>
          <w:sz w:val="22"/>
          <w:shd w:fill="auto" w:val="clear"/>
        </w:rPr>
      </w:pPr>
    </w:p>
    <w:p>
      <w:pPr>
        <w:spacing w:before="0" w:after="0" w:line="240"/>
        <w:ind w:right="0" w:left="0" w:firstLine="211"/>
        <w:jc w:val="both"/>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＜サステナブルファイナンス大賞とは＞</w:t>
      </w: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環境問題を金融的手法で解決する「環境金融」の普及・啓蒙活動を展開する一般社団法人環境金融研究機構（</w:t>
      </w:r>
      <w:r>
        <w:rPr>
          <w:rFonts w:ascii="Century" w:hAnsi="Century" w:cs="Century" w:eastAsia="Century"/>
          <w:color w:val="auto"/>
          <w:spacing w:val="0"/>
          <w:position w:val="0"/>
          <w:sz w:val="21"/>
          <w:shd w:fill="auto" w:val="clear"/>
        </w:rPr>
        <w:t xml:space="preserve">RIEF</w:t>
      </w:r>
      <w:r>
        <w:rPr>
          <w:rFonts w:ascii="ＭＳ 明朝" w:hAnsi="ＭＳ 明朝" w:cs="ＭＳ 明朝" w:eastAsia="ＭＳ 明朝"/>
          <w:color w:val="auto"/>
          <w:spacing w:val="0"/>
          <w:position w:val="0"/>
          <w:sz w:val="21"/>
          <w:shd w:fill="auto" w:val="clear"/>
        </w:rPr>
        <w:t xml:space="preserve">）が、</w:t>
      </w:r>
      <w:r>
        <w:rPr>
          <w:rFonts w:ascii="Century" w:hAnsi="Century" w:cs="Century" w:eastAsia="Century"/>
          <w:color w:val="auto"/>
          <w:spacing w:val="0"/>
          <w:position w:val="0"/>
          <w:sz w:val="21"/>
          <w:shd w:fill="auto" w:val="clear"/>
        </w:rPr>
        <w:t xml:space="preserve">2015</w:t>
      </w:r>
      <w:r>
        <w:rPr>
          <w:rFonts w:ascii="ＭＳ 明朝" w:hAnsi="ＭＳ 明朝" w:cs="ＭＳ 明朝" w:eastAsia="ＭＳ 明朝"/>
          <w:color w:val="auto"/>
          <w:spacing w:val="0"/>
          <w:position w:val="0"/>
          <w:sz w:val="21"/>
          <w:shd w:fill="auto" w:val="clear"/>
        </w:rPr>
        <w:t xml:space="preserve">年から始めた表彰制度です。今回が</w:t>
      </w:r>
      <w:r>
        <w:rPr>
          <w:rFonts w:ascii="Century" w:hAnsi="Century" w:cs="Century" w:eastAsia="Century"/>
          <w:color w:val="auto"/>
          <w:spacing w:val="0"/>
          <w:position w:val="0"/>
          <w:sz w:val="21"/>
          <w:shd w:fill="auto" w:val="clear"/>
        </w:rPr>
        <w:t xml:space="preserve">2</w:t>
      </w:r>
      <w:r>
        <w:rPr>
          <w:rFonts w:ascii="ＭＳ 明朝" w:hAnsi="ＭＳ 明朝" w:cs="ＭＳ 明朝" w:eastAsia="ＭＳ 明朝"/>
          <w:color w:val="auto"/>
          <w:spacing w:val="0"/>
          <w:position w:val="0"/>
          <w:sz w:val="21"/>
          <w:shd w:fill="auto" w:val="clear"/>
        </w:rPr>
        <w:t xml:space="preserve">回目です。対象は日本の金融市場で環境金融商品・サービス・取り組みを展開する金融機関等です。</w:t>
      </w:r>
    </w:p>
    <w:p>
      <w:pPr>
        <w:spacing w:before="0" w:after="0" w:line="240"/>
        <w:ind w:right="0" w:left="0" w:firstLine="210"/>
        <w:jc w:val="both"/>
        <w:rPr>
          <w:rFonts w:ascii="Century" w:hAnsi="Century" w:cs="Century" w:eastAsia="Century"/>
          <w:b/>
          <w:color w:val="auto"/>
          <w:spacing w:val="0"/>
          <w:position w:val="0"/>
          <w:sz w:val="22"/>
          <w:shd w:fill="auto" w:val="clear"/>
        </w:rPr>
      </w:pPr>
      <w:r>
        <w:rPr>
          <w:rFonts w:ascii="Century" w:hAnsi="Century" w:cs="Century" w:eastAsia="Century"/>
          <w:color w:val="auto"/>
          <w:spacing w:val="0"/>
          <w:position w:val="0"/>
          <w:sz w:val="21"/>
          <w:shd w:fill="auto" w:val="clear"/>
        </w:rPr>
        <w:t xml:space="preserve">10</w:t>
      </w:r>
      <w:r>
        <w:rPr>
          <w:rFonts w:ascii="ＭＳ 明朝" w:hAnsi="ＭＳ 明朝" w:cs="ＭＳ 明朝" w:eastAsia="ＭＳ 明朝"/>
          <w:color w:val="auto"/>
          <w:spacing w:val="0"/>
          <w:position w:val="0"/>
          <w:sz w:val="21"/>
          <w:shd w:fill="auto" w:val="clear"/>
        </w:rPr>
        <w:t xml:space="preserve">人の審査員が</w:t>
      </w:r>
      <w:r>
        <w:rPr>
          <w:rFonts w:ascii="Century" w:hAnsi="Century" w:cs="Century" w:eastAsia="Century"/>
          <w:color w:val="auto"/>
          <w:spacing w:val="0"/>
          <w:position w:val="0"/>
          <w:sz w:val="21"/>
          <w:shd w:fill="auto" w:val="clear"/>
        </w:rPr>
        <w:t xml:space="preserve">6</w:t>
      </w:r>
      <w:r>
        <w:rPr>
          <w:rFonts w:ascii="ＭＳ 明朝" w:hAnsi="ＭＳ 明朝" w:cs="ＭＳ 明朝" w:eastAsia="ＭＳ 明朝"/>
          <w:color w:val="auto"/>
          <w:spacing w:val="0"/>
          <w:position w:val="0"/>
          <w:sz w:val="21"/>
          <w:shd w:fill="auto" w:val="clear"/>
        </w:rPr>
        <w:t xml:space="preserve">項目に基づき採点、全員のスコアを元にした定量評価と、審査員会議での定性評価を合わせた総合判断で、「最も優れた金融機関」を選びました。年明け</w:t>
      </w:r>
      <w:r>
        <w:rPr>
          <w:rFonts w:ascii="Century" w:hAnsi="Century" w:cs="Century" w:eastAsia="Century"/>
          <w:color w:val="auto"/>
          <w:spacing w:val="0"/>
          <w:position w:val="0"/>
          <w:sz w:val="21"/>
          <w:shd w:fill="auto" w:val="clear"/>
        </w:rPr>
        <w:t xml:space="preserve">1</w:t>
      </w:r>
      <w:r>
        <w:rPr>
          <w:rFonts w:ascii="ＭＳ 明朝" w:hAnsi="ＭＳ 明朝" w:cs="ＭＳ 明朝" w:eastAsia="ＭＳ 明朝"/>
          <w:color w:val="auto"/>
          <w:spacing w:val="0"/>
          <w:position w:val="0"/>
          <w:sz w:val="21"/>
          <w:shd w:fill="auto" w:val="clear"/>
        </w:rPr>
        <w:t xml:space="preserve">月</w:t>
      </w:r>
      <w:r>
        <w:rPr>
          <w:rFonts w:ascii="Century" w:hAnsi="Century" w:cs="Century" w:eastAsia="Century"/>
          <w:color w:val="auto"/>
          <w:spacing w:val="0"/>
          <w:position w:val="0"/>
          <w:sz w:val="21"/>
          <w:shd w:fill="auto" w:val="clear"/>
        </w:rPr>
        <w:t xml:space="preserve">23</w:t>
      </w:r>
      <w:r>
        <w:rPr>
          <w:rFonts w:ascii="ＭＳ 明朝" w:hAnsi="ＭＳ 明朝" w:cs="ＭＳ 明朝" w:eastAsia="ＭＳ 明朝"/>
          <w:color w:val="auto"/>
          <w:spacing w:val="0"/>
          <w:position w:val="0"/>
          <w:sz w:val="21"/>
          <w:shd w:fill="auto" w:val="clear"/>
        </w:rPr>
        <w:t xml:space="preserve">日（月）午後</w:t>
      </w:r>
      <w:r>
        <w:rPr>
          <w:rFonts w:ascii="Century" w:hAnsi="Century" w:cs="Century" w:eastAsia="Century"/>
          <w:color w:val="auto"/>
          <w:spacing w:val="0"/>
          <w:position w:val="0"/>
          <w:sz w:val="21"/>
          <w:shd w:fill="auto" w:val="clear"/>
        </w:rPr>
        <w:t xml:space="preserve">3</w:t>
      </w:r>
      <w:r>
        <w:rPr>
          <w:rFonts w:ascii="ＭＳ 明朝" w:hAnsi="ＭＳ 明朝" w:cs="ＭＳ 明朝" w:eastAsia="ＭＳ 明朝"/>
          <w:color w:val="auto"/>
          <w:spacing w:val="0"/>
          <w:position w:val="0"/>
          <w:sz w:val="21"/>
          <w:shd w:fill="auto" w:val="clear"/>
        </w:rPr>
        <w:t xml:space="preserve">時から日本記者クラブで表彰式を行います。</w:t>
      </w:r>
    </w:p>
    <w:p>
      <w:pPr>
        <w:spacing w:before="0" w:after="0" w:line="240"/>
        <w:ind w:right="0" w:left="0" w:firstLine="0"/>
        <w:jc w:val="both"/>
        <w:rPr>
          <w:rFonts w:ascii="Century" w:hAnsi="Century" w:cs="Century" w:eastAsia="Century"/>
          <w:b/>
          <w:color w:val="auto"/>
          <w:spacing w:val="0"/>
          <w:position w:val="0"/>
          <w:sz w:val="22"/>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b/>
          <w:color w:val="auto"/>
          <w:spacing w:val="0"/>
          <w:position w:val="0"/>
          <w:sz w:val="22"/>
          <w:shd w:fill="auto" w:val="clear"/>
        </w:rPr>
        <w:t xml:space="preserve">大賞</w:t>
      </w:r>
      <w:r>
        <w:rPr>
          <w:rFonts w:ascii="ＭＳ 明朝" w:hAnsi="ＭＳ 明朝" w:cs="ＭＳ 明朝" w:eastAsia="ＭＳ 明朝"/>
          <w:color w:val="auto"/>
          <w:spacing w:val="0"/>
          <w:position w:val="0"/>
          <w:sz w:val="22"/>
          <w:shd w:fill="auto" w:val="clear"/>
        </w:rPr>
        <w:t xml:space="preserve">：</w:t>
      </w:r>
      <w:r>
        <w:rPr>
          <w:rFonts w:ascii="ＭＳ 明朝" w:hAnsi="ＭＳ 明朝" w:cs="ＭＳ 明朝" w:eastAsia="ＭＳ 明朝"/>
          <w:b/>
          <w:color w:val="auto"/>
          <w:spacing w:val="0"/>
          <w:position w:val="0"/>
          <w:sz w:val="22"/>
          <w:shd w:fill="auto" w:val="clear"/>
        </w:rPr>
        <w:t xml:space="preserve">損保ジャパン日本興亜株式会社　「東南アジアにおける農業従事者向け天候インデックス保険の展開」</w:t>
      </w:r>
      <w:r>
        <w:rPr>
          <w:rFonts w:ascii="ＭＳ 明朝" w:hAnsi="ＭＳ 明朝" w:cs="ＭＳ 明朝" w:eastAsia="ＭＳ 明朝"/>
          <w:color w:val="auto"/>
          <w:spacing w:val="0"/>
          <w:position w:val="0"/>
          <w:sz w:val="21"/>
          <w:shd w:fill="auto" w:val="clear"/>
        </w:rPr>
        <w:t xml:space="preserve">　　　</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受賞理由：気候変動の適応策としての金融商品の開発。気候変動の影響を受け易い途上国の零細農家の持続可能な農作業を保険で支援する。リモートセンシング技術と現地ステークホルダーとの協働の組み合わせ。</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優秀賞：三菱</w:t>
      </w:r>
      <w:r>
        <w:rPr>
          <w:rFonts w:ascii="Century" w:hAnsi="Century" w:cs="Century" w:eastAsia="Century"/>
          <w:b/>
          <w:color w:val="auto"/>
          <w:spacing w:val="0"/>
          <w:position w:val="0"/>
          <w:sz w:val="21"/>
          <w:shd w:fill="auto" w:val="clear"/>
        </w:rPr>
        <w:t xml:space="preserve">UFJ</w:t>
      </w:r>
      <w:r>
        <w:rPr>
          <w:rFonts w:ascii="ＭＳ 明朝" w:hAnsi="ＭＳ 明朝" w:cs="ＭＳ 明朝" w:eastAsia="ＭＳ 明朝"/>
          <w:b/>
          <w:color w:val="auto"/>
          <w:spacing w:val="0"/>
          <w:position w:val="0"/>
          <w:sz w:val="21"/>
          <w:shd w:fill="auto" w:val="clear"/>
        </w:rPr>
        <w:t xml:space="preserve">フィナンシャル・グループ</w:t>
      </w:r>
      <w:r>
        <w:rPr>
          <w:rFonts w:ascii="ＭＳ 明朝" w:hAnsi="ＭＳ 明朝" w:cs="ＭＳ 明朝" w:eastAsia="ＭＳ 明朝"/>
          <w:color w:val="auto"/>
          <w:spacing w:val="0"/>
          <w:position w:val="0"/>
          <w:sz w:val="21"/>
          <w:shd w:fill="auto" w:val="clear"/>
        </w:rPr>
        <w:t xml:space="preserve">　「グリーン</w:t>
      </w:r>
      <w:r>
        <w:rPr>
          <w:rFonts w:ascii="Century" w:hAnsi="Century" w:cs="Century" w:eastAsia="Century"/>
          <w:color w:val="auto"/>
          <w:spacing w:val="0"/>
          <w:position w:val="0"/>
          <w:sz w:val="21"/>
          <w:shd w:fill="auto" w:val="clear"/>
        </w:rPr>
        <w:t xml:space="preserve">TLAC</w:t>
      </w:r>
      <w:r>
        <w:rPr>
          <w:rFonts w:ascii="ＭＳ 明朝" w:hAnsi="ＭＳ 明朝" w:cs="ＭＳ 明朝" w:eastAsia="ＭＳ 明朝"/>
          <w:color w:val="auto"/>
          <w:spacing w:val="0"/>
          <w:position w:val="0"/>
          <w:sz w:val="21"/>
          <w:shd w:fill="auto" w:val="clear"/>
        </w:rPr>
        <w:t xml:space="preserve">ボンドの発行」</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受賞理由：システミックリスク対策の</w:t>
      </w:r>
      <w:r>
        <w:rPr>
          <w:rFonts w:ascii="Century" w:hAnsi="Century" w:cs="Century" w:eastAsia="Century"/>
          <w:color w:val="auto"/>
          <w:spacing w:val="0"/>
          <w:position w:val="0"/>
          <w:sz w:val="21"/>
          <w:shd w:fill="auto" w:val="clear"/>
        </w:rPr>
        <w:t xml:space="preserve">TLAC</w:t>
      </w:r>
      <w:r>
        <w:rPr>
          <w:rFonts w:ascii="ＭＳ 明朝" w:hAnsi="ＭＳ 明朝" w:cs="ＭＳ 明朝" w:eastAsia="ＭＳ 明朝"/>
          <w:color w:val="auto"/>
          <w:spacing w:val="0"/>
          <w:position w:val="0"/>
          <w:sz w:val="21"/>
          <w:shd w:fill="auto" w:val="clear"/>
        </w:rPr>
        <w:t xml:space="preserve">ボンド発行の枠組みの中で、世界で初めてグリーンボンドを発行した。資金使途は再生可能エネルギー事業に特化。透明性確保も。</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優秀賞：三井住友信託銀行</w:t>
      </w:r>
      <w:r>
        <w:rPr>
          <w:rFonts w:ascii="ＭＳ 明朝" w:hAnsi="ＭＳ 明朝" w:cs="ＭＳ 明朝" w:eastAsia="ＭＳ 明朝"/>
          <w:color w:val="auto"/>
          <w:spacing w:val="0"/>
          <w:position w:val="0"/>
          <w:sz w:val="21"/>
          <w:shd w:fill="auto" w:val="clear"/>
        </w:rPr>
        <w:t xml:space="preserve">「国際規範・ルールに基づくグローバル・エンゲージメント活動」</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受賞理由：</w:t>
      </w:r>
      <w:r>
        <w:rPr>
          <w:rFonts w:ascii="Century" w:hAnsi="Century" w:cs="Century" w:eastAsia="Century"/>
          <w:color w:val="auto"/>
          <w:spacing w:val="0"/>
          <w:position w:val="0"/>
          <w:sz w:val="21"/>
          <w:shd w:fill="auto" w:val="clear"/>
        </w:rPr>
        <w:t xml:space="preserve">ESG</w:t>
      </w:r>
      <w:r>
        <w:rPr>
          <w:rFonts w:ascii="ＭＳ 明朝" w:hAnsi="ＭＳ 明朝" w:cs="ＭＳ 明朝" w:eastAsia="ＭＳ 明朝"/>
          <w:color w:val="auto"/>
          <w:spacing w:val="0"/>
          <w:position w:val="0"/>
          <w:sz w:val="21"/>
          <w:shd w:fill="auto" w:val="clear"/>
        </w:rPr>
        <w:t xml:space="preserve">活動の一環としての投資先へのエンゲージメントを、国内金融機関として初めてグローバルベースで実践、ステークホルダーとの協働で実績をあげている。</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優秀賞：日本生命保険</w:t>
      </w:r>
      <w:r>
        <w:rPr>
          <w:rFonts w:ascii="ＭＳ 明朝" w:hAnsi="ＭＳ 明朝" w:cs="ＭＳ 明朝" w:eastAsia="ＭＳ 明朝"/>
          <w:color w:val="auto"/>
          <w:spacing w:val="0"/>
          <w:position w:val="0"/>
          <w:sz w:val="21"/>
          <w:shd w:fill="auto" w:val="clear"/>
        </w:rPr>
        <w:t xml:space="preserve">　「</w:t>
      </w:r>
      <w:r>
        <w:rPr>
          <w:rFonts w:ascii="Century" w:hAnsi="Century" w:cs="Century" w:eastAsia="Century"/>
          <w:color w:val="auto"/>
          <w:spacing w:val="0"/>
          <w:position w:val="0"/>
          <w:sz w:val="21"/>
          <w:shd w:fill="auto" w:val="clear"/>
        </w:rPr>
        <w:t xml:space="preserve">ESG</w:t>
      </w:r>
      <w:r>
        <w:rPr>
          <w:rFonts w:ascii="ＭＳ 明朝" w:hAnsi="ＭＳ 明朝" w:cs="ＭＳ 明朝" w:eastAsia="ＭＳ 明朝"/>
          <w:color w:val="auto"/>
          <w:spacing w:val="0"/>
          <w:position w:val="0"/>
          <w:sz w:val="21"/>
          <w:shd w:fill="auto" w:val="clear"/>
        </w:rPr>
        <w:t xml:space="preserve">債への積極投資、累計</w:t>
      </w:r>
      <w:r>
        <w:rPr>
          <w:rFonts w:ascii="Century" w:hAnsi="Century" w:cs="Century" w:eastAsia="Century"/>
          <w:color w:val="auto"/>
          <w:spacing w:val="0"/>
          <w:position w:val="0"/>
          <w:sz w:val="21"/>
          <w:shd w:fill="auto" w:val="clear"/>
        </w:rPr>
        <w:t xml:space="preserve">1000</w:t>
      </w:r>
      <w:r>
        <w:rPr>
          <w:rFonts w:ascii="ＭＳ 明朝" w:hAnsi="ＭＳ 明朝" w:cs="ＭＳ 明朝" w:eastAsia="ＭＳ 明朝"/>
          <w:color w:val="auto"/>
          <w:spacing w:val="0"/>
          <w:position w:val="0"/>
          <w:sz w:val="21"/>
          <w:shd w:fill="auto" w:val="clear"/>
        </w:rPr>
        <w:t xml:space="preserve">億円を超過」</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受賞理由：</w:t>
      </w:r>
      <w:r>
        <w:rPr>
          <w:rFonts w:ascii="Century" w:hAnsi="Century" w:cs="Century" w:eastAsia="Century"/>
          <w:color w:val="auto"/>
          <w:spacing w:val="0"/>
          <w:position w:val="0"/>
          <w:sz w:val="21"/>
          <w:shd w:fill="auto" w:val="clear"/>
        </w:rPr>
        <w:t xml:space="preserve">3</w:t>
      </w:r>
      <w:r>
        <w:rPr>
          <w:rFonts w:ascii="ＭＳ 明朝" w:hAnsi="ＭＳ 明朝" w:cs="ＭＳ 明朝" w:eastAsia="ＭＳ 明朝"/>
          <w:color w:val="auto"/>
          <w:spacing w:val="0"/>
          <w:position w:val="0"/>
          <w:sz w:val="21"/>
          <w:shd w:fill="auto" w:val="clear"/>
        </w:rPr>
        <w:t xml:space="preserve">ヵ年経営計画の中で</w:t>
      </w:r>
      <w:r>
        <w:rPr>
          <w:rFonts w:ascii="Century" w:hAnsi="Century" w:cs="Century" w:eastAsia="Century"/>
          <w:color w:val="auto"/>
          <w:spacing w:val="0"/>
          <w:position w:val="0"/>
          <w:sz w:val="21"/>
          <w:shd w:fill="auto" w:val="clear"/>
        </w:rPr>
        <w:t xml:space="preserve">ESG</w:t>
      </w:r>
      <w:r>
        <w:rPr>
          <w:rFonts w:ascii="ＭＳ 明朝" w:hAnsi="ＭＳ 明朝" w:cs="ＭＳ 明朝" w:eastAsia="ＭＳ 明朝"/>
          <w:color w:val="auto"/>
          <w:spacing w:val="0"/>
          <w:position w:val="0"/>
          <w:sz w:val="21"/>
          <w:shd w:fill="auto" w:val="clear"/>
        </w:rPr>
        <w:t xml:space="preserve">領域への投融資を打ち出し、機関投資家として長期安定的な運用収益の確保とともに、</w:t>
      </w:r>
      <w:r>
        <w:rPr>
          <w:rFonts w:ascii="Century" w:hAnsi="Century" w:cs="Century" w:eastAsia="Century"/>
          <w:color w:val="auto"/>
          <w:spacing w:val="0"/>
          <w:position w:val="0"/>
          <w:sz w:val="21"/>
          <w:shd w:fill="auto" w:val="clear"/>
        </w:rPr>
        <w:t xml:space="preserve">ESG</w:t>
      </w:r>
      <w:r>
        <w:rPr>
          <w:rFonts w:ascii="ＭＳ 明朝" w:hAnsi="ＭＳ 明朝" w:cs="ＭＳ 明朝" w:eastAsia="ＭＳ 明朝"/>
          <w:color w:val="auto"/>
          <w:spacing w:val="0"/>
          <w:position w:val="0"/>
          <w:sz w:val="21"/>
          <w:shd w:fill="auto" w:val="clear"/>
        </w:rPr>
        <w:t xml:space="preserve">課題解決を資金提供面から促進。</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優秀賞：格付投資情報センター　</w:t>
      </w:r>
      <w:r>
        <w:rPr>
          <w:rFonts w:ascii="ＭＳ 明朝" w:hAnsi="ＭＳ 明朝" w:cs="ＭＳ 明朝" w:eastAsia="ＭＳ 明朝"/>
          <w:color w:val="auto"/>
          <w:spacing w:val="0"/>
          <w:position w:val="0"/>
          <w:sz w:val="21"/>
          <w:shd w:fill="auto" w:val="clear"/>
        </w:rPr>
        <w:t xml:space="preserve">「グリーンボンドアセスメント手法の開発」</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受賞理由：国際基準のグリーンボンド原則（</w:t>
      </w:r>
      <w:r>
        <w:rPr>
          <w:rFonts w:ascii="Century" w:hAnsi="Century" w:cs="Century" w:eastAsia="Century"/>
          <w:color w:val="auto"/>
          <w:spacing w:val="0"/>
          <w:position w:val="0"/>
          <w:sz w:val="21"/>
          <w:shd w:fill="auto" w:val="clear"/>
        </w:rPr>
        <w:t xml:space="preserve">GBP</w:t>
      </w:r>
      <w:r>
        <w:rPr>
          <w:rFonts w:ascii="ＭＳ 明朝" w:hAnsi="ＭＳ 明朝" w:cs="ＭＳ 明朝" w:eastAsia="ＭＳ 明朝"/>
          <w:color w:val="auto"/>
          <w:spacing w:val="0"/>
          <w:position w:val="0"/>
          <w:sz w:val="21"/>
          <w:shd w:fill="auto" w:val="clear"/>
        </w:rPr>
        <w:t xml:space="preserve">）に準拠しつつ、グリーンボンドを比較検討できる独自のグリーン格付けの仕組みを国内で初めて開発した。</w:t>
      </w:r>
    </w:p>
    <w:p>
      <w:pPr>
        <w:spacing w:before="0" w:after="0" w:line="240"/>
        <w:ind w:right="0" w:left="0" w:firstLine="0"/>
        <w:jc w:val="both"/>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　</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特別賞：クレディ・アグリコル</w:t>
      </w:r>
      <w:r>
        <w:rPr>
          <w:rFonts w:ascii="ＭＳ 明朝" w:hAnsi="ＭＳ 明朝" w:cs="ＭＳ 明朝" w:eastAsia="ＭＳ 明朝"/>
          <w:color w:val="auto"/>
          <w:spacing w:val="0"/>
          <w:position w:val="0"/>
          <w:sz w:val="21"/>
          <w:shd w:fill="auto" w:val="clear"/>
        </w:rPr>
        <w:t xml:space="preserve">　「日本市場でのグリーン『売り出し』ボンドの販売」</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受賞理由：</w:t>
      </w:r>
      <w:r>
        <w:rPr>
          <w:rFonts w:ascii="Century" w:hAnsi="Century" w:cs="Century" w:eastAsia="Century"/>
          <w:color w:val="auto"/>
          <w:spacing w:val="0"/>
          <w:position w:val="0"/>
          <w:sz w:val="21"/>
          <w:shd w:fill="auto" w:val="clear"/>
        </w:rPr>
        <w:t xml:space="preserve">2013</w:t>
      </w:r>
      <w:r>
        <w:rPr>
          <w:rFonts w:ascii="ＭＳ 明朝" w:hAnsi="ＭＳ 明朝" w:cs="ＭＳ 明朝" w:eastAsia="ＭＳ 明朝"/>
          <w:color w:val="auto"/>
          <w:spacing w:val="0"/>
          <w:position w:val="0"/>
          <w:sz w:val="21"/>
          <w:shd w:fill="auto" w:val="clear"/>
        </w:rPr>
        <w:t xml:space="preserve">年以来、世界中で発行されたグリーンボンドを日本市場でいち早く販売活動を展開。個人投資家等のグリーン投資ニーズを高めた。</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国際賞：ルクセンブルク証券取引所</w:t>
      </w:r>
      <w:r>
        <w:rPr>
          <w:rFonts w:ascii="ＭＳ 明朝" w:hAnsi="ＭＳ 明朝" w:cs="ＭＳ 明朝" w:eastAsia="ＭＳ 明朝"/>
          <w:color w:val="auto"/>
          <w:spacing w:val="0"/>
          <w:position w:val="0"/>
          <w:sz w:val="21"/>
          <w:shd w:fill="auto" w:val="clear"/>
        </w:rPr>
        <w:t xml:space="preserve">　「世界初のグリーン金融上場取引所の開設」</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受賞理由：グリーンファイナンス普及のため、グリーンボンドだけでなく幅広くグリーン金融商品を上場するグリーン金融市場を開設した。厳格な上場基準と情報開示を義務付け。</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地域金融賞：滋賀銀行</w:t>
      </w:r>
      <w:r>
        <w:rPr>
          <w:rFonts w:ascii="ＭＳ 明朝" w:hAnsi="ＭＳ 明朝" w:cs="ＭＳ 明朝" w:eastAsia="ＭＳ 明朝"/>
          <w:color w:val="auto"/>
          <w:spacing w:val="0"/>
          <w:position w:val="0"/>
          <w:sz w:val="21"/>
          <w:shd w:fill="auto" w:val="clear"/>
        </w:rPr>
        <w:t xml:space="preserve">　「環境格付けを組み込んだ</w:t>
      </w:r>
      <w:r>
        <w:rPr>
          <w:rFonts w:ascii="Century" w:hAnsi="Century" w:cs="Century" w:eastAsia="Century"/>
          <w:color w:val="auto"/>
          <w:spacing w:val="0"/>
          <w:position w:val="0"/>
          <w:sz w:val="21"/>
          <w:shd w:fill="auto" w:val="clear"/>
        </w:rPr>
        <w:t xml:space="preserve">CSR</w:t>
      </w:r>
      <w:r>
        <w:rPr>
          <w:rFonts w:ascii="ＭＳ 明朝" w:hAnsi="ＭＳ 明朝" w:cs="ＭＳ 明朝" w:eastAsia="ＭＳ 明朝"/>
          <w:color w:val="auto"/>
          <w:spacing w:val="0"/>
          <w:position w:val="0"/>
          <w:sz w:val="21"/>
          <w:shd w:fill="auto" w:val="clear"/>
        </w:rPr>
        <w:t xml:space="preserve">私募債で地域社会貢献活動を支援」</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受賞理由：企業の私募債を引き受けた銀行が、発行企業指定の学校等を支援する</w:t>
      </w:r>
      <w:r>
        <w:rPr>
          <w:rFonts w:ascii="Century" w:hAnsi="Century" w:cs="Century" w:eastAsia="Century"/>
          <w:color w:val="auto"/>
          <w:spacing w:val="0"/>
          <w:position w:val="0"/>
          <w:sz w:val="21"/>
          <w:shd w:fill="auto" w:val="clear"/>
        </w:rPr>
        <w:t xml:space="preserve">CSR</w:t>
      </w:r>
      <w:r>
        <w:rPr>
          <w:rFonts w:ascii="ＭＳ 明朝" w:hAnsi="ＭＳ 明朝" w:cs="ＭＳ 明朝" w:eastAsia="ＭＳ 明朝"/>
          <w:color w:val="auto"/>
          <w:spacing w:val="0"/>
          <w:position w:val="0"/>
          <w:sz w:val="21"/>
          <w:shd w:fill="auto" w:val="clear"/>
        </w:rPr>
        <w:t xml:space="preserve">私募債に、同行開発のびわ湖原則（</w:t>
      </w:r>
      <w:r>
        <w:rPr>
          <w:rFonts w:ascii="Century" w:hAnsi="Century" w:cs="Century" w:eastAsia="Century"/>
          <w:color w:val="auto"/>
          <w:spacing w:val="0"/>
          <w:position w:val="0"/>
          <w:sz w:val="21"/>
          <w:shd w:fill="auto" w:val="clear"/>
        </w:rPr>
        <w:t xml:space="preserve">PLB</w:t>
      </w:r>
      <w:r>
        <w:rPr>
          <w:rFonts w:ascii="ＭＳ 明朝" w:hAnsi="ＭＳ 明朝" w:cs="ＭＳ 明朝" w:eastAsia="ＭＳ 明朝"/>
          <w:color w:val="auto"/>
          <w:spacing w:val="0"/>
          <w:position w:val="0"/>
          <w:sz w:val="21"/>
          <w:shd w:fill="auto" w:val="clear"/>
        </w:rPr>
        <w:t xml:space="preserve">）格付けを組み合わせて提供。</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地域金融賞：秋田県信用組合</w:t>
      </w:r>
      <w:r>
        <w:rPr>
          <w:rFonts w:ascii="ＭＳ 明朝" w:hAnsi="ＭＳ 明朝" w:cs="ＭＳ 明朝" w:eastAsia="ＭＳ 明朝"/>
          <w:color w:val="auto"/>
          <w:spacing w:val="0"/>
          <w:position w:val="0"/>
          <w:sz w:val="21"/>
          <w:shd w:fill="auto" w:val="clear"/>
        </w:rPr>
        <w:t xml:space="preserve">　「消滅可能性都市の信組が挑む地方創生」</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受賞理由：地域の人口減少は続くが、自然資源を地域で活用、新たな産業を生み出す試みとして農業用水砂防ダムを利用した小水力発電、木質バイオマス発電等に取り組む。</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＜審査評＞</w:t>
      </w:r>
    </w:p>
    <w:p>
      <w:pPr>
        <w:spacing w:before="0" w:after="0" w:line="240"/>
        <w:ind w:right="0" w:left="0" w:firstLine="211"/>
        <w:jc w:val="both"/>
        <w:rPr>
          <w:rFonts w:ascii="Century" w:hAnsi="Century" w:cs="Century" w:eastAsia="Century"/>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池尾和人・審査委員長</w:t>
      </w:r>
      <w:r>
        <w:rPr>
          <w:rFonts w:ascii="ＭＳ 明朝" w:hAnsi="ＭＳ 明朝" w:cs="ＭＳ 明朝" w:eastAsia="ＭＳ 明朝"/>
          <w:color w:val="auto"/>
          <w:spacing w:val="0"/>
          <w:position w:val="0"/>
          <w:sz w:val="21"/>
          <w:shd w:fill="auto" w:val="clear"/>
        </w:rPr>
        <w:t xml:space="preserve">（慶應義塾大学経済学部教授）のコメント</w:t>
      </w: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「今回の審査で、環境金融の分野において、多様な取り組みが日本でも広がってきていることを確認できたのは成果だった。引き続き、金融機関の理解と工夫が深まることを期待したい」</w:t>
      </w:r>
    </w:p>
    <w:p>
      <w:pPr>
        <w:spacing w:before="0" w:after="0" w:line="240"/>
        <w:ind w:right="0" w:left="0" w:firstLine="210"/>
        <w:jc w:val="both"/>
        <w:rPr>
          <w:rFonts w:ascii="Century" w:hAnsi="Century" w:cs="Century" w:eastAsia="Century"/>
          <w:color w:val="auto"/>
          <w:spacing w:val="0"/>
          <w:position w:val="0"/>
          <w:sz w:val="21"/>
          <w:shd w:fill="auto" w:val="clear"/>
        </w:rPr>
      </w:pPr>
    </w:p>
    <w:p>
      <w:pPr>
        <w:spacing w:before="0" w:after="0" w:line="240"/>
        <w:ind w:right="0" w:left="0" w:firstLine="21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審査員は池尾委員長、魚住隆太・魚住サステナビリティ研究所代表、大庫直樹ルートエフ代表取締役社長、佐藤泉弁護士、末吉竹二郎国連環境計画特別顧問、鳥谷礼子預金保険機構運営委員会委員、中北徹東洋大学教授、藤井良広環境金融研究機構代表理事、堀江隆一</w:t>
      </w:r>
      <w:r>
        <w:rPr>
          <w:rFonts w:ascii="Century" w:hAnsi="Century" w:cs="Century" w:eastAsia="Century"/>
          <w:color w:val="auto"/>
          <w:spacing w:val="0"/>
          <w:position w:val="0"/>
          <w:sz w:val="21"/>
          <w:shd w:fill="auto" w:val="clear"/>
        </w:rPr>
        <w:t xml:space="preserve">CSR</w:t>
      </w:r>
      <w:r>
        <w:rPr>
          <w:rFonts w:ascii="ＭＳ 明朝" w:hAnsi="ＭＳ 明朝" w:cs="ＭＳ 明朝" w:eastAsia="ＭＳ 明朝"/>
          <w:color w:val="auto"/>
          <w:spacing w:val="0"/>
          <w:position w:val="0"/>
          <w:sz w:val="21"/>
          <w:shd w:fill="auto" w:val="clear"/>
        </w:rPr>
        <w:t xml:space="preserve">デザイン環境投資顧問代表取締役社長、山本利明大阪電気通信大学教授で構成。</w:t>
      </w:r>
    </w:p>
    <w:p>
      <w:pPr>
        <w:spacing w:before="0" w:after="0" w:line="240"/>
        <w:ind w:right="0" w:left="0" w:firstLine="4638"/>
        <w:jc w:val="both"/>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（環境金融研究機構は非営利団体です）</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edia/image1.wmf" Id="docRId3" Type="http://schemas.openxmlformats.org/officeDocument/2006/relationships/image"/><Relationship Target="media/image3.wmf" Id="docRId7" Type="http://schemas.openxmlformats.org/officeDocument/2006/relationships/image"/><Relationship Target="embeddings/oleObject0.bin" Id="docRId0" Type="http://schemas.openxmlformats.org/officeDocument/2006/relationships/oleObject"/><Relationship Target="embeddings/oleObject1.bin" Id="docRId2" Type="http://schemas.openxmlformats.org/officeDocument/2006/relationships/oleObject"/><Relationship Target="embeddings/oleObject2.bin" Id="docRId4" Type="http://schemas.openxmlformats.org/officeDocument/2006/relationships/oleObject"/><Relationship Target="embeddings/oleObject3.bin" Id="docRId6" Type="http://schemas.openxmlformats.org/officeDocument/2006/relationships/oleObject"/><Relationship Target="numbering.xml" Id="docRId8" Type="http://schemas.openxmlformats.org/officeDocument/2006/relationships/numbering"/><Relationship Target="media/image0.wmf" Id="docRId1" Type="http://schemas.openxmlformats.org/officeDocument/2006/relationships/image"/><Relationship Target="media/image2.wmf" Id="docRId5" Type="http://schemas.openxmlformats.org/officeDocument/2006/relationships/image"/><Relationship Target="styles.xml" Id="docRId9" Type="http://schemas.openxmlformats.org/officeDocument/2006/relationships/styles"/></Relationships>
</file>